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317" w:rsidRPr="001F0633" w:rsidRDefault="00EC3317" w:rsidP="00EC3317">
      <w:pPr>
        <w:rPr>
          <w:rFonts w:ascii="Calibri" w:hAnsi="Calibri" w:cs="Arial"/>
          <w:sz w:val="20"/>
          <w:szCs w:val="20"/>
          <w:lang w:val="en-US"/>
        </w:rPr>
      </w:pPr>
      <w:r w:rsidRPr="001F0633">
        <w:rPr>
          <w:rFonts w:ascii="Calibri" w:hAnsi="Calibri" w:cs="Arial"/>
          <w:b/>
          <w:sz w:val="20"/>
          <w:szCs w:val="20"/>
          <w:lang w:val="en-US"/>
        </w:rPr>
        <w:t>ORGANISM: ________________________________________</w:t>
      </w:r>
    </w:p>
    <w:p w:rsidR="00EC3317" w:rsidRPr="001F0633" w:rsidRDefault="00EC3317" w:rsidP="00EC3317">
      <w:pPr>
        <w:rPr>
          <w:rFonts w:ascii="Calibri" w:hAnsi="Calibri" w:cs="Arial"/>
          <w:sz w:val="20"/>
          <w:szCs w:val="20"/>
          <w:lang w:val="en-US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430"/>
        <w:gridCol w:w="6092"/>
      </w:tblGrid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>Taxonomy, microbiology and pathogenesis – toxins, virulence</w:t>
            </w:r>
          </w:p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>Epidemiology</w:t>
            </w:r>
          </w:p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>Clinical features- community disease</w:t>
            </w: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>Clinical features – nosocomial (healthcare-associated) disease</w:t>
            </w: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>Clinical diagnosis</w:t>
            </w:r>
          </w:p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>Microbiological diagnosis</w:t>
            </w:r>
          </w:p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>Prevention</w:t>
            </w:r>
          </w:p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 xml:space="preserve">Treatment </w:t>
            </w:r>
          </w:p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 xml:space="preserve">References: </w:t>
            </w:r>
            <w:r>
              <w:rPr>
                <w:rFonts w:ascii="Calibri" w:hAnsi="Calibri" w:cs="Arial"/>
                <w:sz w:val="20"/>
                <w:szCs w:val="20"/>
              </w:rPr>
              <w:t xml:space="preserve">Local </w:t>
            </w:r>
            <w:r>
              <w:rPr>
                <w:rFonts w:ascii="Calibri" w:hAnsi="Calibri" w:cs="Arial"/>
                <w:sz w:val="20"/>
                <w:szCs w:val="20"/>
              </w:rPr>
              <w:t>studies</w:t>
            </w:r>
            <w:bookmarkStart w:id="0" w:name="_GoBack"/>
            <w:bookmarkEnd w:id="0"/>
          </w:p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C3317" w:rsidRPr="001F0633" w:rsidTr="00F044E7">
        <w:tc>
          <w:tcPr>
            <w:tcW w:w="2430" w:type="dxa"/>
          </w:tcPr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  <w:r w:rsidRPr="001F0633">
              <w:rPr>
                <w:rFonts w:ascii="Calibri" w:hAnsi="Calibri" w:cs="Arial"/>
                <w:sz w:val="20"/>
                <w:szCs w:val="20"/>
              </w:rPr>
              <w:t>References: International</w:t>
            </w:r>
          </w:p>
          <w:p w:rsidR="00EC3317" w:rsidRPr="001F0633" w:rsidRDefault="00EC3317" w:rsidP="00F044E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092" w:type="dxa"/>
          </w:tcPr>
          <w:p w:rsidR="00EC3317" w:rsidRPr="001F0633" w:rsidRDefault="00EC3317" w:rsidP="00F044E7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EC3317" w:rsidRPr="001F0633" w:rsidRDefault="00EC3317" w:rsidP="00EC3317">
      <w:pPr>
        <w:rPr>
          <w:rFonts w:ascii="Calibri" w:hAnsi="Calibri" w:cs="Arial"/>
          <w:sz w:val="20"/>
          <w:szCs w:val="20"/>
          <w:lang w:val="en-US"/>
        </w:rPr>
      </w:pPr>
    </w:p>
    <w:p w:rsidR="00F42BB0" w:rsidRDefault="00F42BB0"/>
    <w:sectPr w:rsidR="00F42B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317"/>
    <w:rsid w:val="00EC3317"/>
    <w:rsid w:val="00F4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3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C33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3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C33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HNELHD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Ferguson</dc:creator>
  <cp:lastModifiedBy>John Ferguson</cp:lastModifiedBy>
  <cp:revision>1</cp:revision>
  <dcterms:created xsi:type="dcterms:W3CDTF">2015-09-04T08:40:00Z</dcterms:created>
  <dcterms:modified xsi:type="dcterms:W3CDTF">2015-09-04T08:41:00Z</dcterms:modified>
</cp:coreProperties>
</file>